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EEC" w:rsidRDefault="00583EEC" w:rsidP="00583EEC">
      <w:pPr>
        <w:rPr>
          <w:rFonts w:hint="eastAsia"/>
        </w:rPr>
      </w:pPr>
      <w:r>
        <w:rPr>
          <w:noProof/>
        </w:rPr>
        <w:drawing>
          <wp:inline distT="0" distB="0" distL="0" distR="0" wp14:anchorId="4C1AFC8F" wp14:editId="4257DC8E">
            <wp:extent cx="2179320" cy="3200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179320" cy="3200400"/>
                    </a:xfrm>
                    <a:prstGeom prst="rect">
                      <a:avLst/>
                    </a:prstGeom>
                  </pic:spPr>
                </pic:pic>
              </a:graphicData>
            </a:graphic>
          </wp:inline>
        </w:drawing>
      </w:r>
      <w:bookmarkStart w:id="0" w:name="_GoBack"/>
      <w:bookmarkEnd w:id="0"/>
    </w:p>
    <w:p w:rsidR="00583EEC" w:rsidRDefault="00583EEC" w:rsidP="00583EEC">
      <w:r>
        <w:t>IF2 RFID网络阅读器</w:t>
      </w:r>
    </w:p>
    <w:p w:rsidR="00583EEC" w:rsidRDefault="00583EEC" w:rsidP="00583EEC">
      <w:r>
        <w:rPr>
          <w:rFonts w:hint="eastAsia"/>
        </w:rPr>
        <w:t>品牌：</w:t>
      </w:r>
      <w:r>
        <w:t>Intermec</w:t>
      </w:r>
    </w:p>
    <w:p w:rsidR="00583EEC" w:rsidRDefault="00583EEC" w:rsidP="00583EEC">
      <w:r>
        <w:rPr>
          <w:rFonts w:hint="eastAsia"/>
        </w:rPr>
        <w:t>厂商：</w:t>
      </w:r>
      <w:r>
        <w:t>Intermec</w:t>
      </w:r>
    </w:p>
    <w:p w:rsidR="00583EEC" w:rsidRDefault="00583EEC" w:rsidP="00583EEC">
      <w:r>
        <w:rPr>
          <w:rFonts w:hint="eastAsia"/>
        </w:rPr>
        <w:t>型号：</w:t>
      </w:r>
      <w:r>
        <w:t>IF2 RFID网络阅读器</w:t>
      </w:r>
    </w:p>
    <w:p w:rsidR="00583EEC" w:rsidRDefault="00583EEC" w:rsidP="00583EEC">
      <w:r>
        <w:rPr>
          <w:rFonts w:hint="eastAsia"/>
        </w:rPr>
        <w:t>特点</w:t>
      </w:r>
    </w:p>
    <w:p w:rsidR="00583EEC" w:rsidRDefault="00583EEC" w:rsidP="00583EEC"/>
    <w:p w:rsidR="00583EEC" w:rsidRDefault="00583EEC" w:rsidP="00583EEC">
      <w:r>
        <w:rPr>
          <w:rFonts w:hint="eastAsia"/>
        </w:rPr>
        <w:t>功能特性</w:t>
      </w:r>
      <w:r>
        <w:t xml:space="preserve">   </w:t>
      </w:r>
    </w:p>
    <w:p w:rsidR="00583EEC" w:rsidRDefault="00583EEC" w:rsidP="00583EEC">
      <w:r>
        <w:t xml:space="preserve">*在经济高效的紧凑型设计中融入高级性能。 </w:t>
      </w:r>
    </w:p>
    <w:p w:rsidR="00583EEC" w:rsidRDefault="00583EEC" w:rsidP="00583EEC">
      <w:r>
        <w:t xml:space="preserve">*可在普通网络上进行轻松部署和管理。 </w:t>
      </w:r>
    </w:p>
    <w:p w:rsidR="00583EEC" w:rsidRDefault="00583EEC" w:rsidP="00583EEC">
      <w:r>
        <w:t xml:space="preserve">*每次阅读的成本较低，投资回报率较高。 </w:t>
      </w:r>
    </w:p>
    <w:p w:rsidR="00583EEC" w:rsidRDefault="00583EEC" w:rsidP="00583EEC">
      <w:r>
        <w:t xml:space="preserve">*可选择以太网供电方式降低安装成本。 </w:t>
      </w:r>
    </w:p>
    <w:p w:rsidR="00583EEC" w:rsidRDefault="00583EEC" w:rsidP="00583EEC">
      <w:r>
        <w:t xml:space="preserve">*不需要额外设备就能直接监控外围设备。 </w:t>
      </w:r>
    </w:p>
    <w:p w:rsidR="00583EEC" w:rsidRDefault="00583EEC" w:rsidP="00583EEC">
      <w:r>
        <w:t xml:space="preserve">*可在工厂进行配置以适应全球不同地区的 应用环境，支持FCC或ETSI频带。 </w:t>
      </w:r>
    </w:p>
    <w:p w:rsidR="00583EEC" w:rsidRDefault="00583EEC" w:rsidP="00583EEC">
      <w:r>
        <w:rPr>
          <w:rFonts w:hint="eastAsia"/>
        </w:rPr>
        <w:t>产品概述</w:t>
      </w:r>
      <w:r>
        <w:t xml:space="preserve">    </w:t>
      </w:r>
    </w:p>
    <w:p w:rsidR="00583EEC" w:rsidRDefault="00583EEC" w:rsidP="00583EEC">
      <w:r>
        <w:t xml:space="preserve">Intermec IF2是一款经济高效的紧凑型网络阅读器，主要用于在需要每次阅读成本较低的可扩展RFID系统的企业和工业环境中， 支持各种不同的RFID应用。  </w:t>
      </w:r>
    </w:p>
    <w:p w:rsidR="00583EEC" w:rsidRDefault="00583EEC" w:rsidP="00583EEC">
      <w:r>
        <w:t xml:space="preserve">IF2基于Intermec设计的射频(RF)平台，该 平台可提供同类最佳的阅读性能，而且支持Intermec专有的Advanced RFID Extensions (ARX)，帮助客户更透明地识别RFID标签， 对标签的识别精度也要高于采用功能更少的商用芯片组的阅读器。  </w:t>
      </w:r>
    </w:p>
    <w:p w:rsidR="00583EEC" w:rsidRDefault="00583EEC" w:rsidP="00583EEC">
      <w:r>
        <w:t xml:space="preserve">IF2封装在一个体积小、重量轻，但很耐用的机箱内，几乎可适用任何环境，包括工业仓储和制造业务以及企业环境，用于资产和库存管理应用。 </w:t>
      </w:r>
    </w:p>
    <w:p w:rsidR="00583EEC" w:rsidRDefault="00583EEC" w:rsidP="00583EEC">
      <w:r>
        <w:rPr>
          <w:rFonts w:hint="eastAsia"/>
        </w:rPr>
        <w:t>降低大型和小型安装时的系统和部署成本</w:t>
      </w:r>
      <w:r>
        <w:t xml:space="preserve"> </w:t>
      </w:r>
    </w:p>
    <w:p w:rsidR="00583EEC" w:rsidRDefault="00583EEC" w:rsidP="00583EEC">
      <w:r>
        <w:t xml:space="preserve">IF2网络阅读器的重点是降低辅助设备及安装的成本，因此具有能够降低总体解决方案的成本和复杂性的特性。 </w:t>
      </w:r>
    </w:p>
    <w:p w:rsidR="00583EEC" w:rsidRDefault="00583EEC" w:rsidP="00583EEC">
      <w:r>
        <w:t>IF2紧凑的外形和一体化的安装插槽使其可以轻松安装在几乎任何环境中，而且还支持通过以太网供电(</w:t>
      </w:r>
      <w:proofErr w:type="spellStart"/>
      <w:r>
        <w:t>PoE</w:t>
      </w:r>
      <w:proofErr w:type="spellEnd"/>
      <w:r>
        <w:t>)方式进行可扩展的部署，即使在没有交流电源或交流电源不适用的地方，也不会因增加压降而产生额外的费用。此外，IF2还可选配直流电源转换器，以支持传统的</w:t>
      </w:r>
      <w:r>
        <w:lastRenderedPageBreak/>
        <w:t xml:space="preserve">墙式电源。任何一种供电方式都能支持IF2的全部射频输出功率(最高30 </w:t>
      </w:r>
      <w:proofErr w:type="spellStart"/>
      <w:r>
        <w:t>dBm</w:t>
      </w:r>
      <w:proofErr w:type="spellEnd"/>
      <w:r>
        <w:t xml:space="preserve">)。  </w:t>
      </w:r>
    </w:p>
    <w:p w:rsidR="00583EEC" w:rsidRDefault="00583EEC" w:rsidP="00583EEC">
      <w:r>
        <w:rPr>
          <w:rFonts w:hint="eastAsia"/>
        </w:rPr>
        <w:t>由于通用输入</w:t>
      </w:r>
      <w:r>
        <w:t>/输出(GPIO)电路可以直接通过</w:t>
      </w:r>
      <w:proofErr w:type="spellStart"/>
      <w:r>
        <w:t>PoE</w:t>
      </w:r>
      <w:proofErr w:type="spellEnd"/>
      <w:r>
        <w:t xml:space="preserve">或直流电源转换器供电，因此IF2允许对存在检测器和信号灯等外围设备进行直接监控，不需要额外的设备，也不需要电源对连接线路进行供电。 </w:t>
      </w:r>
    </w:p>
    <w:p w:rsidR="00583EEC" w:rsidRDefault="00583EEC" w:rsidP="00583EEC">
      <w:r>
        <w:rPr>
          <w:rFonts w:hint="eastAsia"/>
        </w:rPr>
        <w:t>为了进一步降低安装和设备成本，</w:t>
      </w:r>
      <w:r>
        <w:t>IF2的四个天线端口可进行配置，以单站或</w:t>
      </w:r>
      <w:proofErr w:type="gramStart"/>
      <w:r>
        <w:t>双站模式</w:t>
      </w:r>
      <w:proofErr w:type="gramEnd"/>
      <w:r>
        <w:t xml:space="preserve">进行发射，提高系统为应用和环境实现最佳结果和灵活性。Intermec广泛产品线中的各种天线都能支持多种不同的应用，而集成天线的阅读器只有一类天线，应用和部署的灵活性也有一定限制。 </w:t>
      </w:r>
    </w:p>
    <w:p w:rsidR="00583EEC" w:rsidRDefault="00583EEC" w:rsidP="00583EEC">
      <w:r>
        <w:rPr>
          <w:rFonts w:hint="eastAsia"/>
        </w:rPr>
        <w:t>易于使用和管理</w:t>
      </w:r>
      <w:r>
        <w:t xml:space="preserve"> </w:t>
      </w:r>
    </w:p>
    <w:p w:rsidR="00583EEC" w:rsidRDefault="00583EEC" w:rsidP="00583EEC">
      <w:r>
        <w:t xml:space="preserve">IF2可支持各种标准的网络设备协议，包括自动发现和网络服务协议，支持与常见网络基础架构进行无缝集成。  </w:t>
      </w:r>
    </w:p>
    <w:p w:rsidR="00583EEC" w:rsidRDefault="00583EEC" w:rsidP="00583EEC">
      <w:r>
        <w:rPr>
          <w:rFonts w:hint="eastAsia"/>
        </w:rPr>
        <w:t>为了支持基于标准</w:t>
      </w:r>
      <w:r>
        <w:t>LLRP应用界面，IF2可快 速与</w:t>
      </w:r>
      <w:proofErr w:type="spellStart"/>
      <w:r>
        <w:t>IBM®WebSphere®RFID</w:t>
      </w:r>
      <w:proofErr w:type="spellEnd"/>
      <w:r>
        <w:t>和</w:t>
      </w:r>
      <w:proofErr w:type="spellStart"/>
      <w:r>
        <w:t>Microsoft®BizTalk</w:t>
      </w:r>
      <w:proofErr w:type="spellEnd"/>
      <w:r>
        <w:t xml:space="preserve">® RFID等商用解决方案进行集成，形成一个可扩展的标准化平台，方便进行RFID解决方案的开发、部署和管理。此外，IF2还支持Inter- </w:t>
      </w:r>
      <w:proofErr w:type="spellStart"/>
      <w:r>
        <w:t>mec</w:t>
      </w:r>
      <w:proofErr w:type="spellEnd"/>
      <w:r>
        <w:t xml:space="preserve">易于使用的Basic Reader Interface (BRI)，帮助Intermec客户和合作伙伴快速、无缝地将 IF2纳入他们的解决方案中。  </w:t>
      </w:r>
    </w:p>
    <w:p w:rsidR="00583EEC" w:rsidRDefault="00583EEC" w:rsidP="00583EEC">
      <w:r>
        <w:t xml:space="preserve">IF2的出厂配置中就包含Intermec </w:t>
      </w:r>
      <w:proofErr w:type="spellStart"/>
      <w:r>
        <w:t>SmartSys</w:t>
      </w:r>
      <w:proofErr w:type="spellEnd"/>
      <w:r>
        <w:t xml:space="preserve">- </w:t>
      </w:r>
      <w:proofErr w:type="spellStart"/>
      <w:r>
        <w:t>tems</w:t>
      </w:r>
      <w:proofErr w:type="spellEnd"/>
      <w:r>
        <w:t xml:space="preserve">™ 客户端，不需要花费额外费用进行购置。Intermec </w:t>
      </w:r>
      <w:proofErr w:type="spellStart"/>
      <w:r>
        <w:t>SmartSystems</w:t>
      </w:r>
      <w:proofErr w:type="spellEnd"/>
      <w:r>
        <w:t xml:space="preserve">™ 设备管理器允许管理员从一个集中控制台更改设备设置，发送固件升级包，更新软件应用，以及在多台设备上直接进行更改，这样可以节省部署、配置和维护Intermec硬件的时间和成本。  </w:t>
      </w:r>
    </w:p>
    <w:p w:rsidR="00583EEC" w:rsidRDefault="00583EEC" w:rsidP="00583EEC">
      <w:r>
        <w:t xml:space="preserve">Intermec的高级服务可提供过程分析、站点分析、安装和18个月的系统性能担保。  </w:t>
      </w:r>
    </w:p>
    <w:p w:rsidR="00583EEC" w:rsidRDefault="00583EEC" w:rsidP="00583EEC">
      <w:r>
        <w:rPr>
          <w:rFonts w:hint="eastAsia"/>
        </w:rPr>
        <w:t>为了支持能在全球不同环境下正常运行，</w:t>
      </w:r>
      <w:r>
        <w:t xml:space="preserve"> IF2通过了全球各地的相关认证，而且可在工厂进行相应配置，以支持在相应RFID频带中正常运行。    </w:t>
      </w:r>
    </w:p>
    <w:p w:rsidR="00583EEC" w:rsidRDefault="00583EEC" w:rsidP="00583EEC">
      <w:r>
        <w:rPr>
          <w:rFonts w:hint="eastAsia"/>
        </w:rPr>
        <w:t>基本参数</w:t>
      </w:r>
      <w:r>
        <w:t xml:space="preserve"> </w:t>
      </w:r>
    </w:p>
    <w:p w:rsidR="00583EEC" w:rsidRDefault="00583EEC" w:rsidP="00583EEC">
      <w:r>
        <w:rPr>
          <w:rFonts w:hint="eastAsia"/>
        </w:rPr>
        <w:t>工作环境</w:t>
      </w:r>
      <w:r>
        <w:t xml:space="preserve">     </w:t>
      </w:r>
    </w:p>
    <w:p w:rsidR="00583EEC" w:rsidRDefault="00583EEC" w:rsidP="00583EEC">
      <w:r>
        <w:rPr>
          <w:rFonts w:hint="eastAsia"/>
        </w:rPr>
        <w:t>工业等级：</w:t>
      </w:r>
      <w:r>
        <w:t xml:space="preserve">IP53 </w:t>
      </w:r>
    </w:p>
    <w:p w:rsidR="00583EEC" w:rsidRDefault="00583EEC" w:rsidP="00583EEC">
      <w:r>
        <w:rPr>
          <w:rFonts w:hint="eastAsia"/>
        </w:rPr>
        <w:t>湿度：</w:t>
      </w:r>
      <w:r>
        <w:t xml:space="preserve">5-95%,无冷凝 </w:t>
      </w:r>
    </w:p>
    <w:p w:rsidR="00583EEC" w:rsidRDefault="00583EEC" w:rsidP="00583EEC">
      <w:r>
        <w:rPr>
          <w:rFonts w:hint="eastAsia"/>
        </w:rPr>
        <w:t>工作温度：：</w:t>
      </w:r>
      <w:r>
        <w:t xml:space="preserve">-20至50°C (-4至122°F) </w:t>
      </w:r>
    </w:p>
    <w:p w:rsidR="00583EEC" w:rsidRDefault="00583EEC" w:rsidP="00583EEC">
      <w:r>
        <w:rPr>
          <w:rFonts w:hint="eastAsia"/>
        </w:rPr>
        <w:t>储存温度：</w:t>
      </w:r>
      <w:r>
        <w:t xml:space="preserve">-30至70°C (-22至158°F) </w:t>
      </w:r>
    </w:p>
    <w:p w:rsidR="00583EEC" w:rsidRDefault="00583EEC" w:rsidP="00583EEC">
      <w:r>
        <w:t xml:space="preserve">  </w:t>
      </w:r>
    </w:p>
    <w:p w:rsidR="00583EEC" w:rsidRDefault="00583EEC" w:rsidP="00583EEC">
      <w:r>
        <w:rPr>
          <w:rFonts w:hint="eastAsia"/>
        </w:rPr>
        <w:t>产品规格</w:t>
      </w:r>
      <w:r>
        <w:t xml:space="preserve"> </w:t>
      </w:r>
    </w:p>
    <w:p w:rsidR="00583EEC" w:rsidRDefault="00583EEC" w:rsidP="00583EEC">
      <w:r>
        <w:rPr>
          <w:rFonts w:hint="eastAsia"/>
        </w:rPr>
        <w:t>长度：</w:t>
      </w:r>
      <w:r>
        <w:t xml:space="preserve"> 18.85cm/19.9cm（带挡板） </w:t>
      </w:r>
    </w:p>
    <w:p w:rsidR="00583EEC" w:rsidRDefault="00583EEC" w:rsidP="00583EEC">
      <w:r>
        <w:rPr>
          <w:rFonts w:hint="eastAsia"/>
        </w:rPr>
        <w:t>宽度：</w:t>
      </w:r>
      <w:r>
        <w:t xml:space="preserve"> 16.31cm </w:t>
      </w:r>
    </w:p>
    <w:p w:rsidR="00583EEC" w:rsidRDefault="00583EEC" w:rsidP="00583EEC">
      <w:r>
        <w:rPr>
          <w:rFonts w:hint="eastAsia"/>
        </w:rPr>
        <w:t>高度：</w:t>
      </w:r>
      <w:r>
        <w:t xml:space="preserve"> 4.32cm </w:t>
      </w:r>
    </w:p>
    <w:p w:rsidR="00583EEC" w:rsidRDefault="00583EEC" w:rsidP="00583EEC">
      <w:r>
        <w:rPr>
          <w:rFonts w:hint="eastAsia"/>
        </w:rPr>
        <w:t>重量：</w:t>
      </w:r>
      <w:r>
        <w:t xml:space="preserve">1kg </w:t>
      </w:r>
    </w:p>
    <w:p w:rsidR="00583EEC" w:rsidRDefault="00583EEC" w:rsidP="00583EEC">
      <w:r>
        <w:t xml:space="preserve">  </w:t>
      </w:r>
    </w:p>
    <w:p w:rsidR="00583EEC" w:rsidRDefault="00583EEC" w:rsidP="00583EEC">
      <w:r>
        <w:rPr>
          <w:rFonts w:hint="eastAsia"/>
        </w:rPr>
        <w:t>频率范围</w:t>
      </w:r>
      <w:r>
        <w:t xml:space="preserve"> </w:t>
      </w:r>
    </w:p>
    <w:p w:rsidR="00583EEC" w:rsidRDefault="00583EEC" w:rsidP="00583EEC">
      <w:r>
        <w:t>FCC (902-928 MHz)和ETSI (865-868 MHz)</w:t>
      </w:r>
    </w:p>
    <w:p w:rsidR="00583EEC" w:rsidRDefault="00583EEC" w:rsidP="00583EEC"/>
    <w:sectPr w:rsidR="00583E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EEC"/>
    <w:rsid w:val="004959F7"/>
    <w:rsid w:val="00583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3EEC"/>
    <w:rPr>
      <w:sz w:val="18"/>
      <w:szCs w:val="18"/>
    </w:rPr>
  </w:style>
  <w:style w:type="character" w:customStyle="1" w:styleId="Char">
    <w:name w:val="批注框文本 Char"/>
    <w:basedOn w:val="a0"/>
    <w:link w:val="a3"/>
    <w:uiPriority w:val="99"/>
    <w:semiHidden/>
    <w:rsid w:val="00583EE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3EEC"/>
    <w:rPr>
      <w:sz w:val="18"/>
      <w:szCs w:val="18"/>
    </w:rPr>
  </w:style>
  <w:style w:type="character" w:customStyle="1" w:styleId="Char">
    <w:name w:val="批注框文本 Char"/>
    <w:basedOn w:val="a0"/>
    <w:link w:val="a3"/>
    <w:uiPriority w:val="99"/>
    <w:semiHidden/>
    <w:rsid w:val="00583E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1476</Characters>
  <Application>Microsoft Office Word</Application>
  <DocSecurity>0</DocSecurity>
  <Lines>12</Lines>
  <Paragraphs>3</Paragraphs>
  <ScaleCrop>false</ScaleCrop>
  <Company>Microsoft</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2020-06-11T08:31:00Z</dcterms:created>
  <dcterms:modified xsi:type="dcterms:W3CDTF">2020-06-11T08:32:00Z</dcterms:modified>
</cp:coreProperties>
</file>